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4F21" w14:textId="1F1B6632" w:rsidR="009D0012" w:rsidRDefault="009D0012"/>
    <w:p w14:paraId="792C488E" w14:textId="32E858DC" w:rsidR="009D0012" w:rsidRPr="009D0012" w:rsidRDefault="009D0012" w:rsidP="009D0012">
      <w:pPr>
        <w:jc w:val="center"/>
        <w:rPr>
          <w:b/>
          <w:bCs/>
        </w:rPr>
      </w:pPr>
    </w:p>
    <w:p w14:paraId="35B1E846" w14:textId="05289755" w:rsidR="009D0012" w:rsidRPr="009D0012" w:rsidRDefault="009D0012" w:rsidP="009D00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012">
        <w:rPr>
          <w:rFonts w:ascii="Times New Roman" w:hAnsi="Times New Roman" w:cs="Times New Roman"/>
          <w:b/>
          <w:bCs/>
          <w:sz w:val="28"/>
          <w:szCs w:val="28"/>
        </w:rPr>
        <w:t>Информация об страховых учреждениях, с которыми заключены договора на оказание и оплату медуслуг по ОМС</w:t>
      </w:r>
    </w:p>
    <w:p w14:paraId="199D2A26" w14:textId="13797609" w:rsidR="009D0012" w:rsidRPr="009D0012" w:rsidRDefault="009D0012" w:rsidP="009D00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0012">
        <w:rPr>
          <w:rFonts w:ascii="Times New Roman" w:hAnsi="Times New Roman" w:cs="Times New Roman"/>
          <w:sz w:val="28"/>
          <w:szCs w:val="28"/>
        </w:rPr>
        <w:t>ООО «ТМ-Диагностика» оказывает платные медицинские услуги, в соответствии с утвержденным прейскурантом, действующим в данный период времени.</w:t>
      </w:r>
    </w:p>
    <w:p w14:paraId="3C2B3ADC" w14:textId="77777777" w:rsidR="009D0012" w:rsidRPr="009D0012" w:rsidRDefault="009D0012" w:rsidP="009D00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0012">
        <w:rPr>
          <w:rFonts w:ascii="Times New Roman" w:hAnsi="Times New Roman" w:cs="Times New Roman"/>
          <w:sz w:val="28"/>
          <w:szCs w:val="28"/>
        </w:rPr>
        <w:t xml:space="preserve">Следующую информацию можно получить в государственных муниципальных медицинских учреждениях: </w:t>
      </w:r>
    </w:p>
    <w:p w14:paraId="323088B3" w14:textId="77777777" w:rsidR="009D0012" w:rsidRPr="009D0012" w:rsidRDefault="009D0012">
      <w:pPr>
        <w:rPr>
          <w:rFonts w:ascii="Times New Roman" w:hAnsi="Times New Roman" w:cs="Times New Roman"/>
          <w:sz w:val="28"/>
          <w:szCs w:val="28"/>
        </w:rPr>
      </w:pPr>
      <w:r w:rsidRPr="009D0012">
        <w:rPr>
          <w:rFonts w:ascii="Times New Roman" w:hAnsi="Times New Roman" w:cs="Times New Roman"/>
          <w:sz w:val="28"/>
          <w:szCs w:val="28"/>
        </w:rPr>
        <w:t>•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 w14:paraId="32ABD3E2" w14:textId="77777777" w:rsidR="009D0012" w:rsidRPr="009D0012" w:rsidRDefault="009D0012">
      <w:pPr>
        <w:rPr>
          <w:rFonts w:ascii="Times New Roman" w:hAnsi="Times New Roman" w:cs="Times New Roman"/>
          <w:sz w:val="28"/>
          <w:szCs w:val="28"/>
        </w:rPr>
      </w:pPr>
      <w:r w:rsidRPr="009D0012">
        <w:rPr>
          <w:rFonts w:ascii="Times New Roman" w:hAnsi="Times New Roman" w:cs="Times New Roman"/>
          <w:sz w:val="28"/>
          <w:szCs w:val="28"/>
        </w:rPr>
        <w:t>• О порядке,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помощи;</w:t>
      </w:r>
    </w:p>
    <w:p w14:paraId="16A5D1B5" w14:textId="283FCD18" w:rsidR="009D0012" w:rsidRPr="009D0012" w:rsidRDefault="009D0012">
      <w:pPr>
        <w:rPr>
          <w:rFonts w:ascii="Times New Roman" w:hAnsi="Times New Roman" w:cs="Times New Roman"/>
          <w:sz w:val="28"/>
          <w:szCs w:val="28"/>
        </w:rPr>
      </w:pPr>
      <w:r w:rsidRPr="009D0012">
        <w:rPr>
          <w:rFonts w:ascii="Times New Roman" w:hAnsi="Times New Roman" w:cs="Times New Roman"/>
          <w:sz w:val="28"/>
          <w:szCs w:val="28"/>
        </w:rPr>
        <w:t>• О показателях доступности и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год.</w:t>
      </w:r>
    </w:p>
    <w:sectPr w:rsidR="009D0012" w:rsidRPr="009D0012">
      <w:headerReference w:type="default" r:id="rId7"/>
      <w:pgSz w:w="11900" w:h="16840"/>
      <w:pgMar w:top="1134" w:right="851" w:bottom="1134" w:left="1134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DD794" w14:textId="77777777" w:rsidR="00335A88" w:rsidRDefault="00335A88">
      <w:pPr>
        <w:spacing w:after="0" w:line="240" w:lineRule="auto"/>
      </w:pPr>
      <w:r>
        <w:separator/>
      </w:r>
    </w:p>
  </w:endnote>
  <w:endnote w:type="continuationSeparator" w:id="0">
    <w:p w14:paraId="744DD2B9" w14:textId="77777777" w:rsidR="00335A88" w:rsidRDefault="0033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CBE1C" w14:textId="77777777" w:rsidR="00335A88" w:rsidRDefault="00335A88">
      <w:pPr>
        <w:spacing w:after="0" w:line="240" w:lineRule="auto"/>
      </w:pPr>
      <w:r>
        <w:separator/>
      </w:r>
    </w:p>
  </w:footnote>
  <w:footnote w:type="continuationSeparator" w:id="0">
    <w:p w14:paraId="69A3B3DC" w14:textId="77777777" w:rsidR="00335A88" w:rsidRDefault="0033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FFCB" w14:textId="77777777" w:rsidR="00453B36" w:rsidRDefault="00335A88">
    <w:pPr>
      <w:pStyle w:val="ac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2C77130" wp14:editId="584DFCB4">
              <wp:simplePos x="0" y="0"/>
              <wp:positionH relativeFrom="column">
                <wp:posOffset>3810</wp:posOffset>
              </wp:positionH>
              <wp:positionV relativeFrom="paragraph">
                <wp:posOffset>-65405</wp:posOffset>
              </wp:positionV>
              <wp:extent cx="6429375" cy="1430132"/>
              <wp:effectExtent l="0" t="0" r="0" b="0"/>
              <wp:wrapNone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429375" cy="14301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text;margin-left:0.3pt;mso-position-horizontal:absolute;mso-position-vertical-relative:text;margin-top:-5.1pt;mso-position-vertical:absolute;width:506.2pt;height:112.6pt;" stroked="false">
              <v:path textboxrect="0,0,0,0"/>
              <v:imagedata r:id="rId2" o:title=""/>
            </v:shape>
          </w:pict>
        </mc:Fallback>
      </mc:AlternateContent>
    </w:r>
  </w:p>
  <w:p w14:paraId="56EDF8FE" w14:textId="77777777" w:rsidR="00453B36" w:rsidRDefault="00453B36">
    <w:pPr>
      <w:pStyle w:val="ac"/>
    </w:pPr>
  </w:p>
  <w:p w14:paraId="027617FF" w14:textId="77777777" w:rsidR="00453B36" w:rsidRDefault="00453B36">
    <w:pPr>
      <w:pStyle w:val="ac"/>
    </w:pPr>
  </w:p>
  <w:p w14:paraId="07833E73" w14:textId="77777777" w:rsidR="00453B36" w:rsidRDefault="00453B36">
    <w:pPr>
      <w:pStyle w:val="ac"/>
    </w:pPr>
  </w:p>
  <w:p w14:paraId="50FF66B8" w14:textId="77777777" w:rsidR="00453B36" w:rsidRDefault="00453B36">
    <w:pPr>
      <w:pStyle w:val="ac"/>
    </w:pPr>
  </w:p>
  <w:p w14:paraId="7114805E" w14:textId="77777777" w:rsidR="00453B36" w:rsidRDefault="00453B36">
    <w:pPr>
      <w:pStyle w:val="ac"/>
    </w:pPr>
  </w:p>
  <w:p w14:paraId="3A8D7768" w14:textId="77777777" w:rsidR="00453B36" w:rsidRDefault="00453B36">
    <w:pPr>
      <w:pStyle w:val="ac"/>
    </w:pPr>
  </w:p>
  <w:p w14:paraId="602AA1ED" w14:textId="77777777" w:rsidR="00453B36" w:rsidRDefault="00453B3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B36"/>
    <w:rsid w:val="00335A88"/>
    <w:rsid w:val="00453B36"/>
    <w:rsid w:val="009D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CFDB"/>
  <w15:docId w15:val="{6A7578A5-6612-49CE-877E-B10A1B82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link w:val="ab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</w:rPr>
  </w:style>
  <w:style w:type="paragraph" w:styleId="af">
    <w:name w:val="footer"/>
    <w:link w:val="ae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D904A731-23D3-4A3A-9E09-5127346951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Корнелия Липницкая</cp:lastModifiedBy>
  <cp:revision>2</cp:revision>
  <dcterms:created xsi:type="dcterms:W3CDTF">2023-10-19T16:37:00Z</dcterms:created>
  <dcterms:modified xsi:type="dcterms:W3CDTF">2023-10-19T16:37:00Z</dcterms:modified>
</cp:coreProperties>
</file>